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3AC0C" w14:textId="77777777" w:rsidR="007646C7" w:rsidRDefault="007646C7" w:rsidP="007364B0">
      <w:pPr>
        <w:rPr>
          <w:rFonts w:ascii="Agfa Rotis Semisans" w:hAnsi="Agfa Rotis Semisans"/>
          <w:b/>
        </w:rPr>
      </w:pPr>
    </w:p>
    <w:p w14:paraId="4167F40B" w14:textId="77777777" w:rsidR="00CE1180" w:rsidRDefault="00CE1180" w:rsidP="00242FD7">
      <w:pPr>
        <w:rPr>
          <w:rFonts w:ascii="Agfa Rotis Sans Serif" w:hAnsi="Agfa Rotis Sans Serif"/>
        </w:rPr>
      </w:pPr>
    </w:p>
    <w:p w14:paraId="5D2C0D6B" w14:textId="1B1B9C90" w:rsidR="009D68B9" w:rsidRDefault="009D68B9" w:rsidP="009D68B9">
      <w:pPr>
        <w:ind w:right="-1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„</w:t>
      </w:r>
      <w:proofErr w:type="spellStart"/>
      <w:r>
        <w:rPr>
          <w:rFonts w:ascii="Tahoma" w:hAnsi="Tahoma" w:cs="Tahoma"/>
          <w:b/>
        </w:rPr>
        <w:t>cadira</w:t>
      </w:r>
      <w:proofErr w:type="spellEnd"/>
      <w:r>
        <w:rPr>
          <w:rFonts w:ascii="Tahoma" w:hAnsi="Tahoma" w:cs="Tahoma"/>
          <w:b/>
        </w:rPr>
        <w:t>“ – n</w:t>
      </w:r>
      <w:r w:rsidRPr="00EE458E">
        <w:rPr>
          <w:rFonts w:ascii="Tahoma" w:hAnsi="Tahoma" w:cs="Tahoma"/>
          <w:b/>
        </w:rPr>
        <w:t xml:space="preserve">eue </w:t>
      </w:r>
      <w:proofErr w:type="spellStart"/>
      <w:r w:rsidRPr="00EE458E">
        <w:rPr>
          <w:rFonts w:ascii="Tahoma" w:hAnsi="Tahoma" w:cs="Tahoma"/>
          <w:b/>
        </w:rPr>
        <w:t>Highbay</w:t>
      </w:r>
      <w:proofErr w:type="spellEnd"/>
      <w:r>
        <w:rPr>
          <w:rFonts w:ascii="Tahoma" w:hAnsi="Tahoma" w:cs="Tahoma"/>
          <w:b/>
        </w:rPr>
        <w:t>-</w:t>
      </w:r>
      <w:r w:rsidRPr="00EE458E">
        <w:rPr>
          <w:rFonts w:ascii="Tahoma" w:hAnsi="Tahoma" w:cs="Tahoma"/>
          <w:b/>
        </w:rPr>
        <w:t>Lösung</w:t>
      </w:r>
      <w:r>
        <w:rPr>
          <w:rFonts w:ascii="Tahoma" w:hAnsi="Tahoma" w:cs="Tahoma"/>
          <w:b/>
        </w:rPr>
        <w:t xml:space="preserve"> </w:t>
      </w:r>
      <w:r w:rsidRPr="00EE458E">
        <w:rPr>
          <w:rFonts w:ascii="Tahoma" w:hAnsi="Tahoma" w:cs="Tahoma"/>
          <w:b/>
        </w:rPr>
        <w:t xml:space="preserve">von </w:t>
      </w:r>
      <w:proofErr w:type="spellStart"/>
      <w:r w:rsidRPr="00EE458E">
        <w:rPr>
          <w:rFonts w:ascii="Tahoma" w:hAnsi="Tahoma" w:cs="Tahoma"/>
          <w:b/>
        </w:rPr>
        <w:t>Regiolux</w:t>
      </w:r>
      <w:proofErr w:type="spellEnd"/>
      <w:r w:rsidRPr="00EE458E">
        <w:rPr>
          <w:rFonts w:ascii="Tahoma" w:hAnsi="Tahoma" w:cs="Tahoma"/>
          <w:b/>
        </w:rPr>
        <w:t>:</w:t>
      </w:r>
    </w:p>
    <w:p w14:paraId="0AA2BB30" w14:textId="66DF1899" w:rsidR="00D87846" w:rsidRPr="00A132C1" w:rsidRDefault="00D87846" w:rsidP="00D87846">
      <w:pPr>
        <w:jc w:val="both"/>
        <w:rPr>
          <w:rFonts w:ascii="Tahoma" w:hAnsi="Tahoma" w:cs="Tahoma"/>
          <w:b/>
        </w:rPr>
      </w:pPr>
    </w:p>
    <w:p w14:paraId="6F955588" w14:textId="18D2CDFB" w:rsidR="009D68B9" w:rsidRDefault="009D68B9" w:rsidP="009D68B9">
      <w:pPr>
        <w:ind w:right="-1"/>
        <w:jc w:val="both"/>
        <w:rPr>
          <w:rFonts w:ascii="Tahoma" w:hAnsi="Tahoma" w:cs="Tahoma"/>
          <w:b/>
          <w:bCs/>
          <w:sz w:val="28"/>
          <w:szCs w:val="28"/>
        </w:rPr>
      </w:pPr>
      <w:r w:rsidRPr="00EE458E">
        <w:rPr>
          <w:rFonts w:ascii="Tahoma" w:hAnsi="Tahoma" w:cs="Tahoma"/>
          <w:b/>
          <w:bCs/>
          <w:sz w:val="28"/>
          <w:szCs w:val="28"/>
        </w:rPr>
        <w:t xml:space="preserve">Ausgewogene </w:t>
      </w:r>
      <w:r>
        <w:rPr>
          <w:rFonts w:ascii="Tahoma" w:hAnsi="Tahoma" w:cs="Tahoma"/>
          <w:b/>
          <w:bCs/>
          <w:sz w:val="28"/>
          <w:szCs w:val="28"/>
        </w:rPr>
        <w:t>Beleuchtung</w:t>
      </w:r>
      <w:r w:rsidRPr="00EE458E">
        <w:rPr>
          <w:rFonts w:ascii="Tahoma" w:hAnsi="Tahoma" w:cs="Tahoma"/>
          <w:b/>
          <w:bCs/>
          <w:sz w:val="28"/>
          <w:szCs w:val="28"/>
        </w:rPr>
        <w:t xml:space="preserve"> für zahlreiche Anwendungen</w:t>
      </w:r>
    </w:p>
    <w:p w14:paraId="3C494D4A" w14:textId="77777777" w:rsidR="009D68B9" w:rsidRPr="00EE458E" w:rsidRDefault="009D68B9" w:rsidP="009D68B9">
      <w:pPr>
        <w:pStyle w:val="StandardWeb"/>
        <w:rPr>
          <w:rFonts w:ascii="Tahoma" w:hAnsi="Tahoma" w:cs="Tahoma"/>
          <w:b/>
          <w:sz w:val="22"/>
          <w:szCs w:val="22"/>
        </w:rPr>
      </w:pPr>
      <w:r w:rsidRPr="008C5E04">
        <w:rPr>
          <w:rFonts w:ascii="Tahoma" w:hAnsi="Tahoma" w:cs="Tahoma"/>
          <w:b/>
          <w:sz w:val="22"/>
          <w:szCs w:val="22"/>
        </w:rPr>
        <w:t>Die neue  Hallen</w:t>
      </w:r>
      <w:r>
        <w:rPr>
          <w:rFonts w:ascii="Tahoma" w:hAnsi="Tahoma" w:cs="Tahoma"/>
          <w:b/>
          <w:sz w:val="22"/>
          <w:szCs w:val="22"/>
        </w:rPr>
        <w:t>- und Flächen</w:t>
      </w:r>
      <w:r w:rsidRPr="00EE458E">
        <w:rPr>
          <w:rFonts w:ascii="Tahoma" w:hAnsi="Tahoma" w:cs="Tahoma"/>
          <w:b/>
          <w:sz w:val="22"/>
          <w:szCs w:val="22"/>
        </w:rPr>
        <w:t xml:space="preserve">leuchte </w:t>
      </w:r>
      <w:proofErr w:type="spellStart"/>
      <w:r w:rsidRPr="008C5E04">
        <w:rPr>
          <w:rFonts w:ascii="Tahoma" w:hAnsi="Tahoma" w:cs="Tahoma"/>
          <w:b/>
          <w:i/>
          <w:sz w:val="22"/>
          <w:szCs w:val="22"/>
        </w:rPr>
        <w:t>cadira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von </w:t>
      </w:r>
      <w:proofErr w:type="spellStart"/>
      <w:r>
        <w:rPr>
          <w:rFonts w:ascii="Tahoma" w:hAnsi="Tahoma" w:cs="Tahoma"/>
          <w:b/>
          <w:sz w:val="22"/>
          <w:szCs w:val="22"/>
        </w:rPr>
        <w:t>Regiolux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präsentiert sich als </w:t>
      </w:r>
      <w:r w:rsidRPr="00EE458E">
        <w:rPr>
          <w:rFonts w:ascii="Tahoma" w:hAnsi="Tahoma" w:cs="Tahoma"/>
          <w:b/>
          <w:sz w:val="22"/>
          <w:szCs w:val="22"/>
        </w:rPr>
        <w:t>eine leichte</w:t>
      </w:r>
      <w:r>
        <w:rPr>
          <w:rFonts w:ascii="Tahoma" w:hAnsi="Tahoma" w:cs="Tahoma"/>
          <w:b/>
          <w:sz w:val="22"/>
          <w:szCs w:val="22"/>
        </w:rPr>
        <w:t>, moderne</w:t>
      </w:r>
      <w:r w:rsidRPr="00EE458E">
        <w:rPr>
          <w:rFonts w:ascii="Tahoma" w:hAnsi="Tahoma" w:cs="Tahoma"/>
          <w:b/>
          <w:sz w:val="22"/>
          <w:szCs w:val="22"/>
        </w:rPr>
        <w:t xml:space="preserve"> und leistungsstarke </w:t>
      </w:r>
      <w:r>
        <w:rPr>
          <w:rFonts w:ascii="Tahoma" w:hAnsi="Tahoma" w:cs="Tahoma"/>
          <w:b/>
          <w:sz w:val="22"/>
          <w:szCs w:val="22"/>
        </w:rPr>
        <w:t>Beleuchtungsl</w:t>
      </w:r>
      <w:r w:rsidRPr="00EE458E">
        <w:rPr>
          <w:rFonts w:ascii="Tahoma" w:hAnsi="Tahoma" w:cs="Tahoma"/>
          <w:b/>
          <w:sz w:val="22"/>
          <w:szCs w:val="22"/>
        </w:rPr>
        <w:t xml:space="preserve">ösung für </w:t>
      </w:r>
      <w:r>
        <w:rPr>
          <w:rFonts w:ascii="Tahoma" w:hAnsi="Tahoma" w:cs="Tahoma"/>
          <w:b/>
          <w:sz w:val="22"/>
          <w:szCs w:val="22"/>
        </w:rPr>
        <w:t xml:space="preserve">Industrie- und </w:t>
      </w:r>
      <w:r w:rsidRPr="00EE458E">
        <w:rPr>
          <w:rFonts w:ascii="Tahoma" w:hAnsi="Tahoma" w:cs="Tahoma"/>
          <w:b/>
          <w:sz w:val="22"/>
          <w:szCs w:val="22"/>
        </w:rPr>
        <w:t>Gewerbe</w:t>
      </w:r>
      <w:r>
        <w:rPr>
          <w:rFonts w:ascii="Tahoma" w:hAnsi="Tahoma" w:cs="Tahoma"/>
          <w:b/>
          <w:sz w:val="22"/>
          <w:szCs w:val="22"/>
        </w:rPr>
        <w:t>bauten</w:t>
      </w:r>
      <w:r w:rsidRPr="00EE458E">
        <w:rPr>
          <w:rFonts w:ascii="Tahoma" w:hAnsi="Tahoma" w:cs="Tahoma"/>
          <w:b/>
          <w:sz w:val="22"/>
          <w:szCs w:val="22"/>
        </w:rPr>
        <w:t xml:space="preserve">. Sie eignet sich besonders für Sanierungsprojekte, da sie lichttechnisch variabel und </w:t>
      </w:r>
      <w:r>
        <w:rPr>
          <w:rFonts w:ascii="Tahoma" w:hAnsi="Tahoma" w:cs="Tahoma"/>
          <w:b/>
          <w:sz w:val="22"/>
          <w:szCs w:val="22"/>
        </w:rPr>
        <w:t xml:space="preserve">im direkten Austausch gegen </w:t>
      </w:r>
      <w:r w:rsidRPr="00EE458E">
        <w:rPr>
          <w:rFonts w:ascii="Tahoma" w:hAnsi="Tahoma" w:cs="Tahoma"/>
          <w:b/>
          <w:sz w:val="22"/>
          <w:szCs w:val="22"/>
        </w:rPr>
        <w:t xml:space="preserve">ältere HME/HIT/HIE-Lampen </w:t>
      </w:r>
      <w:r>
        <w:rPr>
          <w:rFonts w:ascii="Tahoma" w:hAnsi="Tahoma" w:cs="Tahoma"/>
          <w:b/>
          <w:sz w:val="22"/>
          <w:szCs w:val="22"/>
        </w:rPr>
        <w:t>er</w:t>
      </w:r>
      <w:r w:rsidRPr="00EE458E">
        <w:rPr>
          <w:rFonts w:ascii="Tahoma" w:hAnsi="Tahoma" w:cs="Tahoma"/>
          <w:b/>
          <w:sz w:val="22"/>
          <w:szCs w:val="22"/>
        </w:rPr>
        <w:t xml:space="preserve">setzbar ist </w:t>
      </w:r>
      <w:r>
        <w:rPr>
          <w:rFonts w:ascii="Tahoma" w:hAnsi="Tahoma" w:cs="Tahoma"/>
          <w:b/>
          <w:sz w:val="22"/>
          <w:szCs w:val="22"/>
        </w:rPr>
        <w:t>– und zwar 1:1 und mit sehr geringem Montageaufwand.</w:t>
      </w:r>
    </w:p>
    <w:p w14:paraId="6326E8D2" w14:textId="77777777" w:rsidR="009D68B9" w:rsidRPr="00EE458E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  <w:r w:rsidRPr="00EE458E">
        <w:rPr>
          <w:rFonts w:ascii="Tahoma" w:hAnsi="Tahoma" w:cs="Tahoma"/>
          <w:sz w:val="22"/>
          <w:szCs w:val="22"/>
        </w:rPr>
        <w:t xml:space="preserve">Als </w:t>
      </w:r>
      <w:r>
        <w:rPr>
          <w:rFonts w:ascii="Tahoma" w:hAnsi="Tahoma" w:cs="Tahoma"/>
          <w:sz w:val="22"/>
          <w:szCs w:val="22"/>
        </w:rPr>
        <w:t xml:space="preserve">LED </w:t>
      </w:r>
      <w:proofErr w:type="spellStart"/>
      <w:r w:rsidRPr="00EE458E">
        <w:rPr>
          <w:rFonts w:ascii="Tahoma" w:hAnsi="Tahoma" w:cs="Tahoma"/>
          <w:sz w:val="22"/>
          <w:szCs w:val="22"/>
        </w:rPr>
        <w:t>Highbay</w:t>
      </w:r>
      <w:proofErr w:type="spellEnd"/>
      <w:r w:rsidRPr="00EE458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überzeugt</w:t>
      </w:r>
      <w:r w:rsidRPr="00EE458E">
        <w:rPr>
          <w:rFonts w:ascii="Tahoma" w:hAnsi="Tahoma" w:cs="Tahoma"/>
          <w:sz w:val="22"/>
          <w:szCs w:val="22"/>
        </w:rPr>
        <w:t xml:space="preserve"> die </w:t>
      </w:r>
      <w:r>
        <w:rPr>
          <w:rFonts w:ascii="Tahoma" w:hAnsi="Tahoma" w:cs="Tahoma"/>
          <w:sz w:val="22"/>
          <w:szCs w:val="22"/>
        </w:rPr>
        <w:t xml:space="preserve">neue Hallen- und Flächenleuchte </w:t>
      </w:r>
      <w:proofErr w:type="spellStart"/>
      <w:r w:rsidRPr="00F20691">
        <w:rPr>
          <w:rFonts w:ascii="Tahoma" w:hAnsi="Tahoma" w:cs="Tahoma"/>
          <w:i/>
          <w:sz w:val="22"/>
          <w:szCs w:val="22"/>
        </w:rPr>
        <w:t>cadira</w:t>
      </w:r>
      <w:proofErr w:type="spellEnd"/>
      <w:r w:rsidRPr="00EE458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mit ihren herausragenden Qualitätsmerkmalen </w:t>
      </w:r>
      <w:r>
        <w:rPr>
          <w:rFonts w:ascii="Tahoma" w:hAnsi="Tahoma" w:cs="Tahoma"/>
          <w:b/>
          <w:sz w:val="22"/>
          <w:szCs w:val="22"/>
        </w:rPr>
        <w:t xml:space="preserve">– </w:t>
      </w:r>
      <w:r>
        <w:rPr>
          <w:rFonts w:ascii="Tahoma" w:hAnsi="Tahoma" w:cs="Tahoma"/>
          <w:sz w:val="22"/>
          <w:szCs w:val="22"/>
        </w:rPr>
        <w:t xml:space="preserve">basierend auf jahrzehntelangem Knowhow, ausgefeilter Spitzentechnologie, hoher und nachhaltiger Fertigungsqualität sowie erstklassigem Service im Hause </w:t>
      </w:r>
      <w:proofErr w:type="spellStart"/>
      <w:r>
        <w:rPr>
          <w:rFonts w:ascii="Tahoma" w:hAnsi="Tahoma" w:cs="Tahoma"/>
          <w:sz w:val="22"/>
          <w:szCs w:val="22"/>
        </w:rPr>
        <w:t>Regiolux</w:t>
      </w:r>
      <w:proofErr w:type="spellEnd"/>
      <w:r>
        <w:rPr>
          <w:rFonts w:ascii="Tahoma" w:hAnsi="Tahoma" w:cs="Tahoma"/>
          <w:sz w:val="22"/>
          <w:szCs w:val="22"/>
        </w:rPr>
        <w:t>.</w:t>
      </w:r>
      <w:r w:rsidRPr="00EE458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So bietet </w:t>
      </w:r>
      <w:proofErr w:type="spellStart"/>
      <w:r w:rsidRPr="008F5911">
        <w:rPr>
          <w:rFonts w:ascii="Tahoma" w:hAnsi="Tahoma" w:cs="Tahoma"/>
          <w:i/>
          <w:sz w:val="22"/>
          <w:szCs w:val="22"/>
        </w:rPr>
        <w:t>cadira</w:t>
      </w:r>
      <w:proofErr w:type="spellEnd"/>
      <w:r w:rsidRPr="00EE458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eine außergewöhnlich hohe Lebensdauer und ist nahezu wartungsfrei, selbst bei Umgebungstemperaturen von -30 °C bis + 50 °C. Damit eignet sich das langlebige </w:t>
      </w:r>
      <w:proofErr w:type="spellStart"/>
      <w:r>
        <w:rPr>
          <w:rFonts w:ascii="Tahoma" w:hAnsi="Tahoma" w:cs="Tahoma"/>
          <w:sz w:val="22"/>
          <w:szCs w:val="22"/>
        </w:rPr>
        <w:t>Highbay</w:t>
      </w:r>
      <w:proofErr w:type="spellEnd"/>
      <w:r>
        <w:rPr>
          <w:rFonts w:ascii="Tahoma" w:hAnsi="Tahoma" w:cs="Tahoma"/>
          <w:sz w:val="22"/>
          <w:szCs w:val="22"/>
        </w:rPr>
        <w:t xml:space="preserve"> besonders für Fertigungshallen mit großer Deckenhöhe</w:t>
      </w:r>
      <w:r w:rsidRPr="00EE458E">
        <w:rPr>
          <w:rFonts w:ascii="Tahoma" w:hAnsi="Tahoma" w:cs="Tahoma"/>
          <w:sz w:val="22"/>
          <w:szCs w:val="22"/>
        </w:rPr>
        <w:t>.</w:t>
      </w:r>
    </w:p>
    <w:p w14:paraId="66BEB16E" w14:textId="77777777" w:rsidR="009D68B9" w:rsidRPr="00EE458E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  <w:r w:rsidRPr="00EE458E">
        <w:rPr>
          <w:rFonts w:ascii="Tahoma" w:hAnsi="Tahoma" w:cs="Tahoma"/>
          <w:sz w:val="22"/>
          <w:szCs w:val="22"/>
        </w:rPr>
        <w:t xml:space="preserve">Die </w:t>
      </w:r>
      <w:proofErr w:type="spellStart"/>
      <w:r w:rsidRPr="00F20691">
        <w:rPr>
          <w:rFonts w:ascii="Tahoma" w:hAnsi="Tahoma" w:cs="Tahoma"/>
          <w:i/>
          <w:sz w:val="22"/>
          <w:szCs w:val="22"/>
        </w:rPr>
        <w:t>cadira</w:t>
      </w:r>
      <w:proofErr w:type="spellEnd"/>
      <w:r w:rsidRPr="00EE458E">
        <w:rPr>
          <w:rFonts w:ascii="Tahoma" w:hAnsi="Tahoma" w:cs="Tahoma"/>
          <w:sz w:val="22"/>
          <w:szCs w:val="22"/>
        </w:rPr>
        <w:t xml:space="preserve"> Hallenleuchte ist </w:t>
      </w:r>
      <w:r>
        <w:rPr>
          <w:rFonts w:ascii="Tahoma" w:hAnsi="Tahoma" w:cs="Tahoma"/>
          <w:sz w:val="22"/>
          <w:szCs w:val="22"/>
        </w:rPr>
        <w:t>a</w:t>
      </w:r>
      <w:r w:rsidRPr="00EE458E">
        <w:rPr>
          <w:rFonts w:ascii="Tahoma" w:hAnsi="Tahoma" w:cs="Tahoma"/>
          <w:sz w:val="22"/>
          <w:szCs w:val="22"/>
        </w:rPr>
        <w:t xml:space="preserve">uch ökonomisch eine starke Alternative zu anderen Beleuchtungslösungen. Sie </w:t>
      </w:r>
      <w:r>
        <w:rPr>
          <w:rFonts w:ascii="Tahoma" w:hAnsi="Tahoma" w:cs="Tahoma"/>
          <w:sz w:val="22"/>
          <w:szCs w:val="22"/>
        </w:rPr>
        <w:t>ist</w:t>
      </w:r>
      <w:r w:rsidRPr="00EE458E">
        <w:rPr>
          <w:rFonts w:ascii="Tahoma" w:hAnsi="Tahoma" w:cs="Tahoma"/>
          <w:sz w:val="22"/>
          <w:szCs w:val="22"/>
        </w:rPr>
        <w:t xml:space="preserve"> nicht nur </w:t>
      </w:r>
      <w:r>
        <w:rPr>
          <w:rFonts w:ascii="Tahoma" w:hAnsi="Tahoma" w:cs="Tahoma"/>
          <w:sz w:val="22"/>
          <w:szCs w:val="22"/>
        </w:rPr>
        <w:t xml:space="preserve">sehr sparsam beim </w:t>
      </w:r>
      <w:r w:rsidRPr="00EE458E">
        <w:rPr>
          <w:rFonts w:ascii="Tahoma" w:hAnsi="Tahoma" w:cs="Tahoma"/>
          <w:sz w:val="22"/>
          <w:szCs w:val="22"/>
        </w:rPr>
        <w:t xml:space="preserve">Energieverbrauch, sondern </w:t>
      </w:r>
      <w:r>
        <w:rPr>
          <w:rFonts w:ascii="Tahoma" w:hAnsi="Tahoma" w:cs="Tahoma"/>
          <w:sz w:val="22"/>
          <w:szCs w:val="22"/>
        </w:rPr>
        <w:t>reduziert den Aufwand für Wartung und Instandhaltung</w:t>
      </w:r>
      <w:r w:rsidRPr="00DB3711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maßgeblich. Dies führt</w:t>
      </w:r>
      <w:r w:rsidRPr="00EE458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auf lange Sicht</w:t>
      </w:r>
      <w:r w:rsidRPr="00EE458E">
        <w:rPr>
          <w:rFonts w:ascii="Tahoma" w:hAnsi="Tahoma" w:cs="Tahoma"/>
          <w:sz w:val="22"/>
          <w:szCs w:val="22"/>
        </w:rPr>
        <w:t xml:space="preserve"> zu </w:t>
      </w:r>
      <w:r>
        <w:rPr>
          <w:rFonts w:ascii="Tahoma" w:hAnsi="Tahoma" w:cs="Tahoma"/>
          <w:sz w:val="22"/>
          <w:szCs w:val="22"/>
        </w:rPr>
        <w:t>erheblichen Kostene</w:t>
      </w:r>
      <w:r w:rsidRPr="00EE458E">
        <w:rPr>
          <w:rFonts w:ascii="Tahoma" w:hAnsi="Tahoma" w:cs="Tahoma"/>
          <w:sz w:val="22"/>
          <w:szCs w:val="22"/>
        </w:rPr>
        <w:t>insparungen.</w:t>
      </w:r>
    </w:p>
    <w:p w14:paraId="3CA9AD71" w14:textId="77777777" w:rsidR="009D68B9" w:rsidRPr="00EE458E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  <w:r w:rsidRPr="00EE458E">
        <w:rPr>
          <w:rFonts w:ascii="Tahoma" w:hAnsi="Tahoma" w:cs="Tahoma"/>
          <w:sz w:val="22"/>
          <w:szCs w:val="22"/>
        </w:rPr>
        <w:t xml:space="preserve">Das neue Design macht </w:t>
      </w:r>
      <w:r>
        <w:rPr>
          <w:rFonts w:ascii="Tahoma" w:hAnsi="Tahoma" w:cs="Tahoma"/>
          <w:sz w:val="22"/>
          <w:szCs w:val="22"/>
        </w:rPr>
        <w:t xml:space="preserve">die </w:t>
      </w:r>
      <w:proofErr w:type="spellStart"/>
      <w:r w:rsidRPr="006C01A4">
        <w:rPr>
          <w:rFonts w:ascii="Tahoma" w:hAnsi="Tahoma" w:cs="Tahoma"/>
          <w:i/>
          <w:sz w:val="22"/>
          <w:szCs w:val="22"/>
        </w:rPr>
        <w:t>cadira</w:t>
      </w:r>
      <w:proofErr w:type="spellEnd"/>
      <w:r w:rsidRPr="00EE458E">
        <w:rPr>
          <w:rFonts w:ascii="Tahoma" w:hAnsi="Tahoma" w:cs="Tahoma"/>
          <w:sz w:val="22"/>
          <w:szCs w:val="22"/>
        </w:rPr>
        <w:t xml:space="preserve"> zu einem </w:t>
      </w:r>
      <w:r>
        <w:rPr>
          <w:rFonts w:ascii="Tahoma" w:hAnsi="Tahoma" w:cs="Tahoma"/>
          <w:sz w:val="22"/>
          <w:szCs w:val="22"/>
        </w:rPr>
        <w:t>Montage-</w:t>
      </w:r>
      <w:r w:rsidRPr="00EE458E">
        <w:rPr>
          <w:rFonts w:ascii="Tahoma" w:hAnsi="Tahoma" w:cs="Tahoma"/>
          <w:sz w:val="22"/>
          <w:szCs w:val="22"/>
        </w:rPr>
        <w:t xml:space="preserve">Leichtgewicht und bietet eine </w:t>
      </w:r>
      <w:r>
        <w:rPr>
          <w:rFonts w:ascii="Tahoma" w:hAnsi="Tahoma" w:cs="Tahoma"/>
          <w:sz w:val="22"/>
          <w:szCs w:val="22"/>
        </w:rPr>
        <w:t xml:space="preserve">sehr gute </w:t>
      </w:r>
      <w:r w:rsidRPr="00EE458E">
        <w:rPr>
          <w:rFonts w:ascii="Tahoma" w:hAnsi="Tahoma" w:cs="Tahoma"/>
          <w:sz w:val="22"/>
          <w:szCs w:val="22"/>
        </w:rPr>
        <w:t>Handhabung</w:t>
      </w:r>
      <w:r w:rsidRPr="0098015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bei der einfachen, zeitsparenden Installation.</w:t>
      </w:r>
      <w:r w:rsidRPr="00EE458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Eine hohe Flexibilität der</w:t>
      </w:r>
      <w:r w:rsidRPr="00EE458E">
        <w:rPr>
          <w:rFonts w:ascii="Tahoma" w:hAnsi="Tahoma" w:cs="Tahoma"/>
          <w:sz w:val="22"/>
          <w:szCs w:val="22"/>
        </w:rPr>
        <w:t xml:space="preserve"> Beleuchtungslösung </w:t>
      </w:r>
      <w:r>
        <w:rPr>
          <w:rFonts w:ascii="Tahoma" w:hAnsi="Tahoma" w:cs="Tahoma"/>
          <w:sz w:val="22"/>
          <w:szCs w:val="22"/>
        </w:rPr>
        <w:t>ermöglicht ein Decken-Anbaubügel zur 30°, 60° und 90°-Verstellung.</w:t>
      </w:r>
      <w:r w:rsidRPr="00101E0B">
        <w:rPr>
          <w:rFonts w:ascii="Tahoma" w:hAnsi="Tahoma" w:cs="Tahoma"/>
          <w:sz w:val="22"/>
          <w:szCs w:val="22"/>
        </w:rPr>
        <w:t xml:space="preserve"> Ein optional erhältliche</w:t>
      </w:r>
      <w:r>
        <w:rPr>
          <w:rFonts w:ascii="Tahoma" w:hAnsi="Tahoma" w:cs="Tahoma"/>
          <w:sz w:val="22"/>
          <w:szCs w:val="22"/>
        </w:rPr>
        <w:t>r</w:t>
      </w:r>
      <w:r w:rsidRPr="00101E0B">
        <w:rPr>
          <w:rFonts w:ascii="Tahoma" w:hAnsi="Tahoma" w:cs="Tahoma"/>
          <w:sz w:val="22"/>
          <w:szCs w:val="22"/>
        </w:rPr>
        <w:t xml:space="preserve"> Refraktor </w:t>
      </w:r>
      <w:r>
        <w:rPr>
          <w:rFonts w:ascii="Tahoma" w:hAnsi="Tahoma" w:cs="Tahoma"/>
          <w:sz w:val="22"/>
          <w:szCs w:val="22"/>
        </w:rPr>
        <w:t>begrenzt die</w:t>
      </w:r>
      <w:r w:rsidRPr="00101E0B">
        <w:rPr>
          <w:rFonts w:ascii="Tahoma" w:hAnsi="Tahoma" w:cs="Tahoma"/>
          <w:sz w:val="22"/>
          <w:szCs w:val="22"/>
        </w:rPr>
        <w:t xml:space="preserve"> Blendung und </w:t>
      </w:r>
      <w:r>
        <w:rPr>
          <w:rFonts w:ascii="Tahoma" w:hAnsi="Tahoma" w:cs="Tahoma"/>
          <w:sz w:val="22"/>
          <w:szCs w:val="22"/>
        </w:rPr>
        <w:t xml:space="preserve">bietet Schutz zugleich. </w:t>
      </w:r>
    </w:p>
    <w:p w14:paraId="546F91C8" w14:textId="23468981" w:rsidR="009D68B9" w:rsidRPr="00EE458E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  <w:r w:rsidRPr="00EE458E">
        <w:rPr>
          <w:rFonts w:ascii="Tahoma" w:hAnsi="Tahoma" w:cs="Tahoma"/>
          <w:sz w:val="22"/>
          <w:szCs w:val="22"/>
        </w:rPr>
        <w:t xml:space="preserve">Insgesamt </w:t>
      </w:r>
      <w:r>
        <w:rPr>
          <w:rFonts w:ascii="Tahoma" w:hAnsi="Tahoma" w:cs="Tahoma"/>
          <w:sz w:val="22"/>
          <w:szCs w:val="22"/>
        </w:rPr>
        <w:t>is</w:t>
      </w:r>
      <w:r w:rsidRPr="00EE458E">
        <w:rPr>
          <w:rFonts w:ascii="Tahoma" w:hAnsi="Tahoma" w:cs="Tahoma"/>
          <w:sz w:val="22"/>
          <w:szCs w:val="22"/>
        </w:rPr>
        <w:t xml:space="preserve">t die </w:t>
      </w:r>
      <w:proofErr w:type="spellStart"/>
      <w:r w:rsidRPr="00F20691">
        <w:rPr>
          <w:rFonts w:ascii="Tahoma" w:hAnsi="Tahoma" w:cs="Tahoma"/>
          <w:i/>
          <w:sz w:val="22"/>
          <w:szCs w:val="22"/>
        </w:rPr>
        <w:t>cadira</w:t>
      </w:r>
      <w:proofErr w:type="spellEnd"/>
      <w:r w:rsidRPr="00EE458E">
        <w:rPr>
          <w:rFonts w:ascii="Tahoma" w:hAnsi="Tahoma" w:cs="Tahoma"/>
          <w:sz w:val="22"/>
          <w:szCs w:val="22"/>
        </w:rPr>
        <w:t xml:space="preserve"> Hallenleuchte eine ideale Kombination aus Leistung, Langlebigkeit, Wirtschaftlichkeit und Flexibilität</w:t>
      </w:r>
      <w:r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bookmarkStart w:id="0" w:name="_GoBack"/>
      <w:bookmarkEnd w:id="0"/>
      <w:r>
        <w:rPr>
          <w:rFonts w:ascii="Tahoma" w:hAnsi="Tahoma" w:cs="Tahoma"/>
          <w:sz w:val="22"/>
          <w:szCs w:val="22"/>
        </w:rPr>
        <w:lastRenderedPageBreak/>
        <w:t>Sie</w:t>
      </w:r>
      <w:r w:rsidRPr="00EE458E">
        <w:rPr>
          <w:rFonts w:ascii="Tahoma" w:hAnsi="Tahoma" w:cs="Tahoma"/>
          <w:sz w:val="22"/>
          <w:szCs w:val="22"/>
        </w:rPr>
        <w:t xml:space="preserve"> ist somit die perfekte Beleuchtungslösung für anspruchsvolle Industrie- und Gewerbeumgebungen.</w:t>
      </w:r>
    </w:p>
    <w:p w14:paraId="205A7C8A" w14:textId="67C85B41" w:rsidR="00D87846" w:rsidRPr="00D87846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  <w:r w:rsidRPr="009D68B9">
        <w:rPr>
          <w:rFonts w:ascii="Tahoma" w:hAnsi="Tahoma" w:cs="Tahoma"/>
          <w:sz w:val="22"/>
          <w:szCs w:val="22"/>
        </w:rPr>
        <w:t>Alle weiteren Informationen: www.regiolux.de/de/cadira</w:t>
      </w:r>
    </w:p>
    <w:p w14:paraId="22EFDB19" w14:textId="4825244D" w:rsidR="00221D60" w:rsidRPr="009D68B9" w:rsidRDefault="00D87846" w:rsidP="00D87846">
      <w:pPr>
        <w:jc w:val="both"/>
        <w:rPr>
          <w:rFonts w:ascii="Tahoma" w:hAnsi="Tahoma" w:cs="Tahoma"/>
          <w:b/>
          <w:sz w:val="22"/>
          <w:szCs w:val="22"/>
        </w:rPr>
      </w:pPr>
      <w:r w:rsidRPr="009D68B9">
        <w:rPr>
          <w:rFonts w:ascii="Tahoma" w:hAnsi="Tahoma" w:cs="Tahoma"/>
          <w:b/>
          <w:sz w:val="22"/>
          <w:szCs w:val="22"/>
        </w:rPr>
        <w:t>Bildunterschriften:</w:t>
      </w:r>
    </w:p>
    <w:p w14:paraId="5183BAE6" w14:textId="282D6475" w:rsidR="00D87846" w:rsidRPr="00D87846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14:paraId="648DA680" w14:textId="5F1EAD63" w:rsidR="009D68B9" w:rsidRDefault="009D68B9" w:rsidP="009D68B9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</w:t>
      </w:r>
    </w:p>
    <w:p w14:paraId="3DE491C8" w14:textId="36EE9ED5" w:rsidR="009D68B9" w:rsidRDefault="009D68B9" w:rsidP="009D68B9">
      <w:pPr>
        <w:jc w:val="both"/>
        <w:rPr>
          <w:rFonts w:ascii="Tahoma" w:hAnsi="Tahoma" w:cs="Tahom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CB21D5" wp14:editId="1EF516BD">
            <wp:simplePos x="0" y="0"/>
            <wp:positionH relativeFrom="column">
              <wp:posOffset>4445</wp:posOffset>
            </wp:positionH>
            <wp:positionV relativeFrom="paragraph">
              <wp:posOffset>32385</wp:posOffset>
            </wp:positionV>
            <wp:extent cx="2700000" cy="1951200"/>
            <wp:effectExtent l="0" t="0" r="5715" b="0"/>
            <wp:wrapNone/>
            <wp:docPr id="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9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B96A5F" w14:textId="6BDFD709" w:rsidR="009D68B9" w:rsidRDefault="009D68B9" w:rsidP="009D68B9">
      <w:pPr>
        <w:jc w:val="both"/>
        <w:rPr>
          <w:rFonts w:ascii="Tahoma" w:hAnsi="Tahoma" w:cs="Tahoma"/>
        </w:rPr>
      </w:pPr>
    </w:p>
    <w:p w14:paraId="58326147" w14:textId="63B0F7D3" w:rsidR="009D68B9" w:rsidRDefault="009D68B9" w:rsidP="009D68B9">
      <w:pPr>
        <w:jc w:val="both"/>
        <w:rPr>
          <w:rFonts w:ascii="Tahoma" w:hAnsi="Tahoma" w:cs="Tahoma"/>
        </w:rPr>
      </w:pPr>
    </w:p>
    <w:p w14:paraId="1FCAC56D" w14:textId="736B6DE5" w:rsidR="009D68B9" w:rsidRDefault="009D68B9" w:rsidP="009D68B9">
      <w:pPr>
        <w:jc w:val="both"/>
        <w:rPr>
          <w:rFonts w:ascii="Tahoma" w:hAnsi="Tahoma" w:cs="Tahoma"/>
        </w:rPr>
      </w:pPr>
    </w:p>
    <w:p w14:paraId="410497E7" w14:textId="70BD5FE1" w:rsidR="009D68B9" w:rsidRDefault="009D68B9" w:rsidP="009D68B9">
      <w:pPr>
        <w:jc w:val="both"/>
        <w:rPr>
          <w:rFonts w:ascii="Tahoma" w:hAnsi="Tahoma" w:cs="Tahoma"/>
        </w:rPr>
      </w:pPr>
    </w:p>
    <w:p w14:paraId="68444053" w14:textId="13689B2D" w:rsidR="009D68B9" w:rsidRDefault="009D68B9" w:rsidP="009D68B9">
      <w:pPr>
        <w:jc w:val="both"/>
        <w:rPr>
          <w:rFonts w:ascii="Tahoma" w:hAnsi="Tahoma" w:cs="Tahoma"/>
        </w:rPr>
      </w:pPr>
    </w:p>
    <w:p w14:paraId="25FEA3B7" w14:textId="77777777" w:rsidR="009D68B9" w:rsidRDefault="009D68B9" w:rsidP="009D68B9">
      <w:pPr>
        <w:jc w:val="both"/>
        <w:rPr>
          <w:rFonts w:ascii="Tahoma" w:hAnsi="Tahoma" w:cs="Tahoma"/>
        </w:rPr>
      </w:pPr>
    </w:p>
    <w:p w14:paraId="1D648DF7" w14:textId="687C219D" w:rsidR="009D68B9" w:rsidRDefault="009D68B9" w:rsidP="009D68B9">
      <w:pPr>
        <w:jc w:val="both"/>
        <w:rPr>
          <w:rFonts w:ascii="Tahoma" w:hAnsi="Tahoma" w:cs="Tahoma"/>
        </w:rPr>
      </w:pPr>
    </w:p>
    <w:p w14:paraId="35A70018" w14:textId="478ECCE8" w:rsidR="009D68B9" w:rsidRDefault="009D68B9" w:rsidP="009D68B9">
      <w:pPr>
        <w:jc w:val="both"/>
        <w:rPr>
          <w:rFonts w:ascii="Tahoma" w:hAnsi="Tahoma" w:cs="Tahoma"/>
        </w:rPr>
      </w:pPr>
    </w:p>
    <w:p w14:paraId="293971EA" w14:textId="4049C90D" w:rsidR="009D68B9" w:rsidRPr="00C35632" w:rsidRDefault="009D68B9" w:rsidP="009D68B9">
      <w:pPr>
        <w:jc w:val="both"/>
        <w:rPr>
          <w:rFonts w:ascii="Tahoma" w:hAnsi="Tahoma" w:cs="Tahoma"/>
        </w:rPr>
      </w:pPr>
    </w:p>
    <w:p w14:paraId="1BD3E9B0" w14:textId="798D5436" w:rsidR="009D68B9" w:rsidRPr="009D68B9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  <w:r w:rsidRPr="009D68B9">
        <w:rPr>
          <w:rFonts w:ascii="Tahoma" w:hAnsi="Tahoma" w:cs="Tahoma"/>
          <w:sz w:val="22"/>
          <w:szCs w:val="22"/>
        </w:rPr>
        <w:t xml:space="preserve">Sanierungsprojekte können mit der </w:t>
      </w:r>
      <w:proofErr w:type="spellStart"/>
      <w:r w:rsidRPr="009D68B9">
        <w:rPr>
          <w:rFonts w:ascii="Tahoma" w:hAnsi="Tahoma" w:cs="Tahoma"/>
          <w:sz w:val="22"/>
          <w:szCs w:val="22"/>
        </w:rPr>
        <w:t>cadira</w:t>
      </w:r>
      <w:proofErr w:type="spellEnd"/>
      <w:r w:rsidRPr="009D68B9">
        <w:rPr>
          <w:rFonts w:ascii="Tahoma" w:hAnsi="Tahoma" w:cs="Tahoma"/>
          <w:sz w:val="22"/>
          <w:szCs w:val="22"/>
        </w:rPr>
        <w:t xml:space="preserve"> einfach und flexibel umgesetzt werden. Hierbei besteht die Möglichkeit, alte HME/HIT/HIE-Lampen 1:1 durch eine moderne und  energieeffiziente Alternative zu ersetzen. </w:t>
      </w:r>
    </w:p>
    <w:p w14:paraId="6B282DEA" w14:textId="5B868095" w:rsidR="009D68B9" w:rsidRPr="009D68B9" w:rsidRDefault="009D68B9" w:rsidP="009D68B9">
      <w:pPr>
        <w:pStyle w:val="StandardWeb"/>
        <w:rPr>
          <w:rFonts w:ascii="Tahoma" w:hAnsi="Tahoma" w:cs="Tahoma"/>
          <w:b/>
          <w:sz w:val="22"/>
          <w:szCs w:val="22"/>
        </w:rPr>
      </w:pPr>
      <w:r w:rsidRPr="009D68B9">
        <w:rPr>
          <w:rFonts w:ascii="Tahoma" w:hAnsi="Tahoma" w:cs="Tahoma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962D48F" wp14:editId="7EC3BFA6">
            <wp:simplePos x="0" y="0"/>
            <wp:positionH relativeFrom="column">
              <wp:posOffset>4445</wp:posOffset>
            </wp:positionH>
            <wp:positionV relativeFrom="paragraph">
              <wp:posOffset>177165</wp:posOffset>
            </wp:positionV>
            <wp:extent cx="1866900" cy="1866900"/>
            <wp:effectExtent l="0" t="0" r="0" b="0"/>
            <wp:wrapNone/>
            <wp:docPr id="2" name="Grafik 2" descr="\\regstor\Regiolux\MA\PR\2023\cadira\cadira_Refrak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egstor\Regiolux\MA\PR\2023\cadira\cadira_Refrakt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D68B9">
        <w:rPr>
          <w:rFonts w:ascii="Tahoma" w:hAnsi="Tahoma" w:cs="Tahoma"/>
          <w:b/>
          <w:sz w:val="22"/>
          <w:szCs w:val="22"/>
        </w:rPr>
        <w:t>2</w:t>
      </w:r>
    </w:p>
    <w:p w14:paraId="7F766483" w14:textId="046CC321" w:rsidR="009D68B9" w:rsidRPr="009D68B9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</w:p>
    <w:p w14:paraId="34DB7BAC" w14:textId="77777777" w:rsidR="009D68B9" w:rsidRPr="009D68B9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</w:p>
    <w:p w14:paraId="438988FB" w14:textId="77777777" w:rsidR="009D68B9" w:rsidRPr="009D68B9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</w:p>
    <w:p w14:paraId="0E58DA28" w14:textId="77777777" w:rsidR="009D68B9" w:rsidRPr="009D68B9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</w:p>
    <w:p w14:paraId="657FA50D" w14:textId="77777777" w:rsidR="009D68B9" w:rsidRPr="009D68B9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</w:p>
    <w:p w14:paraId="6D1D1CA7" w14:textId="77777777" w:rsidR="009D68B9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  <w:proofErr w:type="spellStart"/>
      <w:r w:rsidRPr="009D68B9">
        <w:rPr>
          <w:rFonts w:ascii="Tahoma" w:hAnsi="Tahoma" w:cs="Tahoma"/>
          <w:i/>
          <w:sz w:val="22"/>
          <w:szCs w:val="22"/>
        </w:rPr>
        <w:t>cadira</w:t>
      </w:r>
      <w:proofErr w:type="spellEnd"/>
      <w:r w:rsidRPr="009D68B9">
        <w:rPr>
          <w:rFonts w:ascii="Tahoma" w:hAnsi="Tahoma" w:cs="Tahoma"/>
          <w:sz w:val="22"/>
          <w:szCs w:val="22"/>
        </w:rPr>
        <w:t xml:space="preserve"> bietet vielfältige Optionen: Die integrierte Ringschraube ermöglicht eine sichere Ein-Punkt-Abhängung. Der Decken-Anbaubügel kann auf Winkel von 30°, 60° oder 90° eingestellt werden. Ein optional erhältlicher Refraktor hilft, Blendung zu reduzieren und schafft ein anderes Erscheinungsbild.</w:t>
      </w:r>
    </w:p>
    <w:p w14:paraId="2A2749A9" w14:textId="77777777" w:rsidR="009D68B9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</w:p>
    <w:p w14:paraId="43CAFD95" w14:textId="10E13126" w:rsidR="009D68B9" w:rsidRPr="00D87846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  <w:r w:rsidRPr="00D87846">
        <w:rPr>
          <w:rFonts w:ascii="Tahoma" w:hAnsi="Tahoma" w:cs="Tahoma"/>
          <w:b/>
          <w:sz w:val="22"/>
          <w:szCs w:val="22"/>
        </w:rPr>
        <w:t>Foto</w:t>
      </w:r>
      <w:r>
        <w:rPr>
          <w:rFonts w:ascii="Tahoma" w:hAnsi="Tahoma" w:cs="Tahoma"/>
          <w:b/>
          <w:sz w:val="22"/>
          <w:szCs w:val="22"/>
        </w:rPr>
        <w:t>s</w:t>
      </w:r>
      <w:r w:rsidRPr="00D87846">
        <w:rPr>
          <w:rFonts w:ascii="Tahoma" w:hAnsi="Tahoma" w:cs="Tahoma"/>
          <w:b/>
          <w:sz w:val="22"/>
          <w:szCs w:val="22"/>
        </w:rPr>
        <w:t>:</w:t>
      </w:r>
      <w:r w:rsidRPr="00D87846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87846">
        <w:rPr>
          <w:rFonts w:ascii="Tahoma" w:hAnsi="Tahoma" w:cs="Tahoma"/>
          <w:sz w:val="22"/>
          <w:szCs w:val="22"/>
        </w:rPr>
        <w:t>Regiolux</w:t>
      </w:r>
      <w:proofErr w:type="spellEnd"/>
    </w:p>
    <w:p w14:paraId="659D3F87" w14:textId="77777777" w:rsidR="009D68B9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</w:p>
    <w:p w14:paraId="6DB3C124" w14:textId="77777777" w:rsidR="009D68B9" w:rsidRPr="009D68B9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</w:p>
    <w:p w14:paraId="405268B4" w14:textId="77777777" w:rsidR="009D68B9" w:rsidRPr="009D68B9" w:rsidRDefault="009D68B9" w:rsidP="009D68B9">
      <w:pPr>
        <w:pStyle w:val="StandardWeb"/>
        <w:rPr>
          <w:rFonts w:ascii="Tahoma" w:hAnsi="Tahoma" w:cs="Tahoma"/>
          <w:sz w:val="22"/>
          <w:szCs w:val="22"/>
        </w:rPr>
      </w:pPr>
      <w:r w:rsidRPr="009D68B9">
        <w:rPr>
          <w:rFonts w:ascii="Tahoma" w:hAnsi="Tahoma" w:cs="Tahoma"/>
          <w:sz w:val="22"/>
          <w:szCs w:val="22"/>
        </w:rPr>
        <w:t>Hashtags:</w:t>
      </w:r>
    </w:p>
    <w:p w14:paraId="07A7763D" w14:textId="77777777" w:rsidR="009D68B9" w:rsidRDefault="009D68B9" w:rsidP="009D68B9">
      <w:pPr>
        <w:pStyle w:val="StandardWeb"/>
        <w:spacing w:before="120" w:beforeAutospacing="0" w:after="120" w:afterAutospacing="0"/>
        <w:rPr>
          <w:rFonts w:ascii="Tahoma" w:hAnsi="Tahoma" w:cs="Tahoma"/>
          <w:sz w:val="22"/>
          <w:szCs w:val="22"/>
        </w:rPr>
      </w:pPr>
      <w:r w:rsidRPr="009D68B9">
        <w:rPr>
          <w:rFonts w:ascii="Tahoma" w:hAnsi="Tahoma" w:cs="Tahoma"/>
          <w:sz w:val="22"/>
          <w:szCs w:val="22"/>
        </w:rPr>
        <w:t>#</w:t>
      </w:r>
      <w:proofErr w:type="spellStart"/>
      <w:r w:rsidRPr="009D68B9">
        <w:rPr>
          <w:rFonts w:ascii="Tahoma" w:hAnsi="Tahoma" w:cs="Tahoma"/>
          <w:sz w:val="22"/>
          <w:szCs w:val="22"/>
        </w:rPr>
        <w:t>RegioluxLeuchten</w:t>
      </w:r>
      <w:proofErr w:type="spellEnd"/>
      <w:r w:rsidRPr="009D68B9">
        <w:rPr>
          <w:rFonts w:ascii="Tahoma" w:hAnsi="Tahoma" w:cs="Tahoma"/>
          <w:sz w:val="22"/>
          <w:szCs w:val="22"/>
        </w:rPr>
        <w:t>, #</w:t>
      </w:r>
      <w:proofErr w:type="spellStart"/>
      <w:r w:rsidRPr="009D68B9">
        <w:rPr>
          <w:rFonts w:ascii="Tahoma" w:hAnsi="Tahoma" w:cs="Tahoma"/>
          <w:sz w:val="22"/>
          <w:szCs w:val="22"/>
        </w:rPr>
        <w:t>RegioluxLichtlösungen</w:t>
      </w:r>
      <w:proofErr w:type="spellEnd"/>
      <w:r w:rsidRPr="009D68B9">
        <w:rPr>
          <w:rFonts w:ascii="Tahoma" w:hAnsi="Tahoma" w:cs="Tahoma"/>
          <w:sz w:val="22"/>
          <w:szCs w:val="22"/>
        </w:rPr>
        <w:t>, #IP65</w:t>
      </w:r>
      <w:r>
        <w:rPr>
          <w:rFonts w:ascii="Tahoma" w:hAnsi="Tahoma" w:cs="Tahoma"/>
          <w:sz w:val="22"/>
          <w:szCs w:val="22"/>
        </w:rPr>
        <w:t xml:space="preserve">,  </w:t>
      </w:r>
    </w:p>
    <w:p w14:paraId="52E7A642" w14:textId="3E6FC2D3" w:rsidR="009D68B9" w:rsidRPr="009D68B9" w:rsidRDefault="009D68B9" w:rsidP="009D68B9">
      <w:pPr>
        <w:pStyle w:val="StandardWeb"/>
        <w:spacing w:before="120" w:beforeAutospacing="0" w:after="120" w:afterAutospacing="0"/>
        <w:rPr>
          <w:rFonts w:ascii="Tahoma" w:hAnsi="Tahoma" w:cs="Tahoma"/>
          <w:sz w:val="22"/>
          <w:szCs w:val="22"/>
        </w:rPr>
      </w:pPr>
      <w:r w:rsidRPr="009D68B9">
        <w:rPr>
          <w:rFonts w:ascii="Tahoma" w:hAnsi="Tahoma" w:cs="Tahoma"/>
          <w:sz w:val="22"/>
          <w:szCs w:val="22"/>
        </w:rPr>
        <w:t>#Hallenleuchte, #BTO, #</w:t>
      </w:r>
      <w:proofErr w:type="spellStart"/>
      <w:r w:rsidRPr="009D68B9">
        <w:rPr>
          <w:rFonts w:ascii="Tahoma" w:hAnsi="Tahoma" w:cs="Tahoma"/>
          <w:sz w:val="22"/>
          <w:szCs w:val="22"/>
        </w:rPr>
        <w:t>Highbay</w:t>
      </w:r>
      <w:proofErr w:type="spellEnd"/>
    </w:p>
    <w:p w14:paraId="2D4EDDD2" w14:textId="77777777" w:rsidR="00C01D89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0AAE2546" w14:textId="77777777" w:rsidR="009D68B9" w:rsidRDefault="009D68B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55D8B5E9" w14:textId="77777777" w:rsidR="009D68B9" w:rsidRDefault="009D68B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75C7906C" w14:textId="77777777" w:rsidR="009D68B9" w:rsidRDefault="009D68B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04B54B46" w14:textId="77777777" w:rsidR="009D68B9" w:rsidRDefault="009D68B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3A1574A0" w14:textId="77777777" w:rsidR="009D68B9" w:rsidRDefault="009D68B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642800CE" w14:textId="77777777" w:rsidR="009D68B9" w:rsidRDefault="009D68B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742DD2B8" w14:textId="77777777" w:rsidR="00C01D89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4311E7DC" w14:textId="77777777" w:rsidR="00C01D89" w:rsidRPr="00B7234A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B7234A">
        <w:rPr>
          <w:rFonts w:ascii="Tahoma" w:hAnsi="Tahoma" w:cs="Tahoma"/>
          <w:bCs/>
          <w:color w:val="7F7F7F"/>
          <w:sz w:val="22"/>
          <w:szCs w:val="22"/>
        </w:rPr>
        <w:t>Linked</w:t>
      </w:r>
      <w:r>
        <w:rPr>
          <w:rFonts w:ascii="Tahoma" w:hAnsi="Tahoma" w:cs="Tahoma"/>
          <w:bCs/>
          <w:color w:val="7F7F7F"/>
          <w:sz w:val="22"/>
          <w:szCs w:val="22"/>
        </w:rPr>
        <w:t>I</w:t>
      </w:r>
      <w:r w:rsidRPr="00B7234A">
        <w:rPr>
          <w:rFonts w:ascii="Tahoma" w:hAnsi="Tahoma" w:cs="Tahoma"/>
          <w:bCs/>
          <w:color w:val="7F7F7F"/>
          <w:sz w:val="22"/>
          <w:szCs w:val="22"/>
        </w:rPr>
        <w:t>n Regiolux GmbH</w:t>
      </w:r>
      <w:r w:rsidRPr="00B7234A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20F8CC20" w14:textId="77777777" w:rsidR="00C01D89" w:rsidRPr="00B7234A" w:rsidRDefault="00FE12E2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9" w:tgtFrame="_blank" w:history="1">
        <w:r w:rsidR="00C01D89" w:rsidRPr="00B7234A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03BB9C01" w14:textId="77777777" w:rsidR="00C01D89" w:rsidRPr="00B7234A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XING Regiolux GmbH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>:  </w:t>
      </w:r>
    </w:p>
    <w:p w14:paraId="4F5C8491" w14:textId="77777777" w:rsidR="00C01D89" w:rsidRPr="00B7234A" w:rsidRDefault="00FE12E2" w:rsidP="00C01D89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en-US"/>
        </w:rPr>
      </w:pPr>
      <w:hyperlink r:id="rId10" w:tgtFrame="_blank" w:history="1">
        <w:r w:rsidR="00C01D89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https://www.xing.com/companies/regioluxgmbh</w:t>
        </w:r>
      </w:hyperlink>
    </w:p>
    <w:p w14:paraId="2B567CFA" w14:textId="77777777" w:rsidR="00C01D89" w:rsidRPr="00B7234A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>
        <w:rPr>
          <w:rFonts w:ascii="Tahoma" w:hAnsi="Tahoma" w:cs="Tahoma"/>
          <w:bCs/>
          <w:color w:val="7F7F7F"/>
          <w:sz w:val="22"/>
          <w:szCs w:val="22"/>
          <w:lang w:val="en-US"/>
        </w:rPr>
        <w:t xml:space="preserve">Instagram </w:t>
      </w:r>
      <w:proofErr w:type="spellStart"/>
      <w:r>
        <w:rPr>
          <w:rFonts w:ascii="Tahoma" w:hAnsi="Tahoma" w:cs="Tahoma"/>
          <w:bCs/>
          <w:color w:val="7F7F7F"/>
          <w:sz w:val="22"/>
          <w:szCs w:val="22"/>
          <w:lang w:val="en-US"/>
        </w:rPr>
        <w:t>r</w:t>
      </w: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egiolux_insights</w:t>
      </w:r>
      <w:proofErr w:type="spellEnd"/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3005558B" w14:textId="77777777" w:rsidR="00C01D89" w:rsidRPr="00B7234A" w:rsidRDefault="00FE12E2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hyperlink r:id="rId11" w:history="1">
        <w:r w:rsidR="00C01D89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https://www.instagram.com/regiolux_insights/</w:t>
        </w:r>
      </w:hyperlink>
    </w:p>
    <w:p w14:paraId="57AF7D5A" w14:textId="77777777" w:rsidR="00C01D89" w:rsidRPr="00B7234A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Facebook Regiolux GmbH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>:</w:t>
      </w:r>
    </w:p>
    <w:p w14:paraId="0268C6F5" w14:textId="77777777" w:rsidR="00C01D89" w:rsidRPr="00B7234A" w:rsidRDefault="00FE12E2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2" w:tgtFrame="_blank" w:history="1">
        <w:r w:rsidR="00C01D89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https://www.facebook.com/RegioluxGmbH</w:t>
        </w:r>
      </w:hyperlink>
    </w:p>
    <w:p w14:paraId="08A54FA4" w14:textId="77777777" w:rsidR="00C01D89" w:rsidRPr="00B7234A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B7234A">
        <w:rPr>
          <w:rFonts w:ascii="Tahoma" w:hAnsi="Tahoma" w:cs="Tahoma"/>
          <w:bCs/>
          <w:color w:val="7F7F7F"/>
          <w:sz w:val="22"/>
          <w:szCs w:val="22"/>
          <w:lang w:val="en-US"/>
        </w:rPr>
        <w:t>YouTube Regiolux GmbH</w:t>
      </w:r>
      <w:r w:rsidRPr="00B7234A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48ED079E" w14:textId="77777777" w:rsidR="00C01D89" w:rsidRPr="00B7234A" w:rsidRDefault="00FE12E2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3" w:tgtFrame="_blank" w:history="1">
        <w:r w:rsidR="00C01D89" w:rsidRPr="00B7234A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https://www.youtube.com/user/RegioluxGmbH/videos</w:t>
        </w:r>
      </w:hyperlink>
    </w:p>
    <w:p w14:paraId="484A1C58" w14:textId="253C6935" w:rsidR="00C01D89" w:rsidRPr="00D648AA" w:rsidRDefault="00FE12E2" w:rsidP="00D648AA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</w:rPr>
      </w:pPr>
      <w:hyperlink r:id="rId14" w:tgtFrame="_blank" w:history="1">
        <w:r w:rsidR="00D648AA" w:rsidRPr="00D648AA">
          <w:rPr>
            <w:rStyle w:val="Hyperlink"/>
            <w:rFonts w:ascii="Tahoma" w:hAnsi="Tahoma" w:cs="Tahoma"/>
            <w:sz w:val="22"/>
            <w:szCs w:val="22"/>
            <w:lang w:val="en-US"/>
          </w:rPr>
          <w:t>https://youtu.be/kEwDi34z0e8</w:t>
        </w:r>
      </w:hyperlink>
    </w:p>
    <w:p w14:paraId="2EC8AD50" w14:textId="77777777" w:rsidR="000629C4" w:rsidRPr="00FB5BEE" w:rsidRDefault="000629C4" w:rsidP="0071021A">
      <w:pPr>
        <w:rPr>
          <w:lang w:val="en-US"/>
        </w:rPr>
      </w:pPr>
    </w:p>
    <w:p w14:paraId="63AD99CC" w14:textId="77777777" w:rsidR="000629C4" w:rsidRPr="00FB5BEE" w:rsidRDefault="000629C4" w:rsidP="0071021A">
      <w:pPr>
        <w:rPr>
          <w:lang w:val="en-US"/>
        </w:rPr>
      </w:pPr>
    </w:p>
    <w:p w14:paraId="15F208BE" w14:textId="77777777" w:rsidR="000629C4" w:rsidRDefault="000629C4" w:rsidP="0071021A">
      <w:pPr>
        <w:rPr>
          <w:lang w:val="en-US"/>
        </w:rPr>
      </w:pPr>
    </w:p>
    <w:p w14:paraId="60AD09F1" w14:textId="77777777" w:rsidR="009D68B9" w:rsidRPr="00FB5BEE" w:rsidRDefault="009D68B9" w:rsidP="0071021A">
      <w:pPr>
        <w:rPr>
          <w:lang w:val="en-US"/>
        </w:rPr>
      </w:pPr>
    </w:p>
    <w:p w14:paraId="01462E81" w14:textId="77777777" w:rsidR="000629C4" w:rsidRPr="00FB5BEE" w:rsidRDefault="000629C4" w:rsidP="0071021A">
      <w:pPr>
        <w:rPr>
          <w:lang w:val="en-US"/>
        </w:rPr>
      </w:pPr>
    </w:p>
    <w:p w14:paraId="7C72B74B" w14:textId="77777777" w:rsidR="000629C4" w:rsidRPr="00FB5BEE" w:rsidRDefault="000629C4" w:rsidP="0071021A">
      <w:pPr>
        <w:rPr>
          <w:lang w:val="en-US"/>
        </w:rPr>
      </w:pPr>
    </w:p>
    <w:p w14:paraId="57EEAD6F" w14:textId="77777777" w:rsidR="00221D60" w:rsidRPr="00A70EFD" w:rsidRDefault="00221D60" w:rsidP="00221D60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0"/>
          <w:szCs w:val="20"/>
        </w:rPr>
      </w:pPr>
      <w:r w:rsidRPr="00A70EFD">
        <w:rPr>
          <w:rFonts w:ascii="Tahoma" w:hAnsi="Tahoma" w:cs="Tahoma"/>
          <w:color w:val="000000"/>
          <w:spacing w:val="5"/>
          <w:sz w:val="20"/>
          <w:szCs w:val="20"/>
        </w:rPr>
        <w:t xml:space="preserve">Bei Rückfragen wenden Sie sich bitte an: </w:t>
      </w:r>
    </w:p>
    <w:p w14:paraId="7A8063FF" w14:textId="77777777" w:rsidR="00221D60" w:rsidRPr="00A70EFD" w:rsidRDefault="00221D60" w:rsidP="00221D60">
      <w:pPr>
        <w:jc w:val="both"/>
        <w:rPr>
          <w:rFonts w:ascii="Tahoma" w:eastAsia="MS Mincho" w:hAnsi="Tahoma" w:cs="Tahoma"/>
          <w:sz w:val="20"/>
          <w:szCs w:val="20"/>
        </w:rPr>
      </w:pPr>
      <w:r w:rsidRPr="00A70EFD">
        <w:rPr>
          <w:rFonts w:ascii="Tahoma" w:eastAsia="MS Mincho" w:hAnsi="Tahoma" w:cs="Tahoma"/>
          <w:sz w:val="20"/>
          <w:szCs w:val="20"/>
        </w:rPr>
        <w:t xml:space="preserve">Seifert PR GmbH (GPRA), Zettachring 2a, 70567 Stuttgart, </w:t>
      </w:r>
    </w:p>
    <w:p w14:paraId="240567E8" w14:textId="77777777" w:rsidR="009D68B9" w:rsidRDefault="00221D60" w:rsidP="00221D60">
      <w:pPr>
        <w:jc w:val="both"/>
        <w:rPr>
          <w:rFonts w:ascii="Tahoma" w:eastAsia="MS Mincho" w:hAnsi="Tahoma" w:cs="Tahoma"/>
          <w:sz w:val="20"/>
          <w:szCs w:val="20"/>
        </w:rPr>
      </w:pPr>
      <w:r w:rsidRPr="00A70EFD">
        <w:rPr>
          <w:rFonts w:ascii="Tahoma" w:eastAsia="MS Mincho" w:hAnsi="Tahoma" w:cs="Tahoma"/>
          <w:sz w:val="20"/>
          <w:szCs w:val="20"/>
        </w:rPr>
        <w:t xml:space="preserve">Tel. </w:t>
      </w:r>
      <w:r w:rsidR="00AA0225">
        <w:rPr>
          <w:rFonts w:ascii="Tahoma" w:eastAsia="MS Mincho" w:hAnsi="Tahoma" w:cs="Tahoma"/>
          <w:sz w:val="20"/>
          <w:szCs w:val="20"/>
        </w:rPr>
        <w:t xml:space="preserve">+49 </w:t>
      </w:r>
      <w:r w:rsidRPr="00A70EFD">
        <w:rPr>
          <w:rFonts w:ascii="Tahoma" w:eastAsia="MS Mincho" w:hAnsi="Tahoma" w:cs="Tahoma"/>
          <w:sz w:val="20"/>
          <w:szCs w:val="20"/>
        </w:rPr>
        <w:t>711</w:t>
      </w:r>
      <w:r w:rsidR="00AA0225">
        <w:rPr>
          <w:rFonts w:ascii="Tahoma" w:eastAsia="MS Mincho" w:hAnsi="Tahoma" w:cs="Tahoma"/>
          <w:sz w:val="20"/>
          <w:szCs w:val="20"/>
        </w:rPr>
        <w:t xml:space="preserve"> </w:t>
      </w:r>
      <w:r w:rsidRPr="00A70EFD">
        <w:rPr>
          <w:rFonts w:ascii="Tahoma" w:eastAsia="MS Mincho" w:hAnsi="Tahoma" w:cs="Tahoma"/>
          <w:sz w:val="20"/>
          <w:szCs w:val="20"/>
        </w:rPr>
        <w:t xml:space="preserve">77918-0, Fax </w:t>
      </w:r>
      <w:r w:rsidR="00AA0225">
        <w:rPr>
          <w:rFonts w:ascii="Tahoma" w:eastAsia="MS Mincho" w:hAnsi="Tahoma" w:cs="Tahoma"/>
          <w:sz w:val="20"/>
          <w:szCs w:val="20"/>
        </w:rPr>
        <w:t xml:space="preserve">+49 </w:t>
      </w:r>
      <w:r w:rsidRPr="00A70EFD">
        <w:rPr>
          <w:rFonts w:ascii="Tahoma" w:eastAsia="MS Mincho" w:hAnsi="Tahoma" w:cs="Tahoma"/>
          <w:sz w:val="20"/>
          <w:szCs w:val="20"/>
        </w:rPr>
        <w:t>711</w:t>
      </w:r>
      <w:r w:rsidR="00AA0225">
        <w:rPr>
          <w:rFonts w:ascii="Tahoma" w:eastAsia="MS Mincho" w:hAnsi="Tahoma" w:cs="Tahoma"/>
          <w:sz w:val="20"/>
          <w:szCs w:val="20"/>
        </w:rPr>
        <w:t xml:space="preserve"> </w:t>
      </w:r>
      <w:r w:rsidRPr="00A70EFD">
        <w:rPr>
          <w:rFonts w:ascii="Tahoma" w:eastAsia="MS Mincho" w:hAnsi="Tahoma" w:cs="Tahoma"/>
          <w:sz w:val="20"/>
          <w:szCs w:val="20"/>
        </w:rPr>
        <w:t xml:space="preserve">77918-77, </w:t>
      </w:r>
    </w:p>
    <w:p w14:paraId="2A892453" w14:textId="1BF9FEB4" w:rsidR="00221D60" w:rsidRPr="00A70EFD" w:rsidRDefault="00221D60" w:rsidP="00221D60">
      <w:pPr>
        <w:jc w:val="both"/>
        <w:rPr>
          <w:rFonts w:ascii="Tahoma" w:hAnsi="Tahoma" w:cs="Tahoma"/>
          <w:sz w:val="20"/>
          <w:szCs w:val="20"/>
        </w:rPr>
      </w:pPr>
      <w:r w:rsidRPr="00A70EFD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5" w:history="1">
        <w:r w:rsidR="009D68B9" w:rsidRPr="00040103">
          <w:rPr>
            <w:rStyle w:val="Hyperlink"/>
            <w:rFonts w:ascii="Tahoma" w:eastAsia="MS Mincho" w:hAnsi="Tahoma" w:cs="Tahoma"/>
            <w:sz w:val="20"/>
            <w:szCs w:val="20"/>
            <w:lang w:val="it-IT"/>
          </w:rPr>
          <w:t>manja.zander@seifert-pr.de</w:t>
        </w:r>
      </w:hyperlink>
      <w:r w:rsidRPr="00A70EFD">
        <w:rPr>
          <w:rFonts w:ascii="Tahoma" w:eastAsia="MS Mincho" w:hAnsi="Tahoma" w:cs="Tahoma"/>
          <w:sz w:val="20"/>
          <w:szCs w:val="20"/>
          <w:lang w:val="it-IT"/>
        </w:rPr>
        <w:t>, www.seifert-pr.de.</w:t>
      </w:r>
    </w:p>
    <w:p w14:paraId="6A435333" w14:textId="77777777" w:rsidR="00221D60" w:rsidRDefault="00221D60" w:rsidP="0071021A"/>
    <w:sectPr w:rsidR="00221D60" w:rsidSect="00E0144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DEDEA0" w14:textId="77777777" w:rsidR="000743B1" w:rsidRDefault="000743B1">
      <w:r>
        <w:separator/>
      </w:r>
    </w:p>
  </w:endnote>
  <w:endnote w:type="continuationSeparator" w:id="0">
    <w:p w14:paraId="4FA70050" w14:textId="77777777" w:rsidR="000743B1" w:rsidRDefault="000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gfa Rotis Semisans Light">
    <w:panose1 w:val="020B0403030504030204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panose1 w:val="020B0703040504030204"/>
    <w:charset w:val="00"/>
    <w:family w:val="swiss"/>
    <w:pitch w:val="variable"/>
    <w:sig w:usb0="00000007" w:usb1="00000000" w:usb2="00000000" w:usb3="00000000" w:csb0="00000013" w:csb1="00000000"/>
  </w:font>
  <w:font w:name="Agfa Rotis Semisans">
    <w:panose1 w:val="020B0503040504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gfa Rotis Sans Serif">
    <w:panose1 w:val="020005030000000000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3532" w14:textId="77777777" w:rsidR="0071021A" w:rsidRDefault="0071021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52788" w14:textId="77777777" w:rsidR="005B0796" w:rsidRPr="0071021A" w:rsidRDefault="005B0796" w:rsidP="0071021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521CB" w14:textId="77777777" w:rsidR="0071021A" w:rsidRDefault="0071021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BBD92" w14:textId="77777777" w:rsidR="000743B1" w:rsidRDefault="000743B1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1059645E" w14:textId="77777777" w:rsidR="000743B1" w:rsidRDefault="0007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9053D" w14:textId="77777777" w:rsidR="0071021A" w:rsidRDefault="0071021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BA572" w14:textId="77777777" w:rsidR="00FD31F0" w:rsidRPr="009B6C06" w:rsidRDefault="00E01440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 w:rsidRPr="009B6C06">
      <w:rPr>
        <w:rFonts w:ascii="Courier New" w:hAnsi="Courier New" w:cs="Courier New"/>
        <w:noProof/>
        <w:sz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C9074A" wp14:editId="0D29ADED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FE12E2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FE12E2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9074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FE12E2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FE12E2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 w:rsidR="00FD31F0" w:rsidRPr="009B6C06">
      <w:rPr>
        <w:rFonts w:ascii="Tahoma" w:hAnsi="Tahoma" w:cs="Tahoma"/>
        <w:noProof/>
        <w:sz w:val="40"/>
        <w:szCs w:val="40"/>
      </w:rPr>
      <w:drawing>
        <wp:anchor distT="0" distB="0" distL="114300" distR="114300" simplePos="0" relativeHeight="251656192" behindDoc="1" locked="0" layoutInCell="1" allowOverlap="1" wp14:anchorId="1302234F" wp14:editId="541148BE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200" cy="4320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lux_logo.eps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2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FDB6C" w14:textId="77777777" w:rsidR="0071021A" w:rsidRDefault="0071021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1C"/>
    <w:rsid w:val="00013115"/>
    <w:rsid w:val="000224A2"/>
    <w:rsid w:val="000413C7"/>
    <w:rsid w:val="000517EC"/>
    <w:rsid w:val="00057756"/>
    <w:rsid w:val="000629C4"/>
    <w:rsid w:val="0006600C"/>
    <w:rsid w:val="00072DFB"/>
    <w:rsid w:val="00073BFA"/>
    <w:rsid w:val="000743B1"/>
    <w:rsid w:val="00087649"/>
    <w:rsid w:val="000B077C"/>
    <w:rsid w:val="000B1916"/>
    <w:rsid w:val="000B2BA7"/>
    <w:rsid w:val="000B5799"/>
    <w:rsid w:val="000C0B11"/>
    <w:rsid w:val="000C1EED"/>
    <w:rsid w:val="000D0908"/>
    <w:rsid w:val="000D7A73"/>
    <w:rsid w:val="00102264"/>
    <w:rsid w:val="001108A5"/>
    <w:rsid w:val="00113CC9"/>
    <w:rsid w:val="00114985"/>
    <w:rsid w:val="00130507"/>
    <w:rsid w:val="00132C62"/>
    <w:rsid w:val="00133E20"/>
    <w:rsid w:val="00143652"/>
    <w:rsid w:val="001479F7"/>
    <w:rsid w:val="00162A4E"/>
    <w:rsid w:val="00182FA7"/>
    <w:rsid w:val="001B1F57"/>
    <w:rsid w:val="001D0A52"/>
    <w:rsid w:val="001E71EB"/>
    <w:rsid w:val="001F24C4"/>
    <w:rsid w:val="0021267F"/>
    <w:rsid w:val="00221D60"/>
    <w:rsid w:val="0022366B"/>
    <w:rsid w:val="00224400"/>
    <w:rsid w:val="00232347"/>
    <w:rsid w:val="002366C1"/>
    <w:rsid w:val="002412D5"/>
    <w:rsid w:val="00242FA9"/>
    <w:rsid w:val="00242FD7"/>
    <w:rsid w:val="00260851"/>
    <w:rsid w:val="002825F5"/>
    <w:rsid w:val="002C4DE1"/>
    <w:rsid w:val="002D2E08"/>
    <w:rsid w:val="002D5197"/>
    <w:rsid w:val="002D729B"/>
    <w:rsid w:val="002F11B4"/>
    <w:rsid w:val="002F5CE7"/>
    <w:rsid w:val="002F5EF7"/>
    <w:rsid w:val="00305EFD"/>
    <w:rsid w:val="003201CF"/>
    <w:rsid w:val="003263F3"/>
    <w:rsid w:val="003334F3"/>
    <w:rsid w:val="003342A6"/>
    <w:rsid w:val="00347A33"/>
    <w:rsid w:val="00377263"/>
    <w:rsid w:val="00383DB8"/>
    <w:rsid w:val="003954A2"/>
    <w:rsid w:val="003A1CCD"/>
    <w:rsid w:val="003A38F5"/>
    <w:rsid w:val="003A5256"/>
    <w:rsid w:val="003C08A0"/>
    <w:rsid w:val="003C62CE"/>
    <w:rsid w:val="003D0C1C"/>
    <w:rsid w:val="003D6091"/>
    <w:rsid w:val="003F493E"/>
    <w:rsid w:val="004020BD"/>
    <w:rsid w:val="00403026"/>
    <w:rsid w:val="004032B7"/>
    <w:rsid w:val="00426540"/>
    <w:rsid w:val="00441737"/>
    <w:rsid w:val="0044438E"/>
    <w:rsid w:val="0045505B"/>
    <w:rsid w:val="004606ED"/>
    <w:rsid w:val="00460C03"/>
    <w:rsid w:val="00476062"/>
    <w:rsid w:val="00477744"/>
    <w:rsid w:val="004805B4"/>
    <w:rsid w:val="0048330C"/>
    <w:rsid w:val="004868BA"/>
    <w:rsid w:val="00493E97"/>
    <w:rsid w:val="004D058A"/>
    <w:rsid w:val="004D1169"/>
    <w:rsid w:val="0051676D"/>
    <w:rsid w:val="0051691C"/>
    <w:rsid w:val="00526982"/>
    <w:rsid w:val="00527ED9"/>
    <w:rsid w:val="0053403E"/>
    <w:rsid w:val="00540295"/>
    <w:rsid w:val="00542D5D"/>
    <w:rsid w:val="00545915"/>
    <w:rsid w:val="00557989"/>
    <w:rsid w:val="005634AC"/>
    <w:rsid w:val="005650BE"/>
    <w:rsid w:val="00574140"/>
    <w:rsid w:val="00592073"/>
    <w:rsid w:val="005948AD"/>
    <w:rsid w:val="005A4957"/>
    <w:rsid w:val="005A4EED"/>
    <w:rsid w:val="005B076F"/>
    <w:rsid w:val="005B0796"/>
    <w:rsid w:val="005C5C76"/>
    <w:rsid w:val="005D3291"/>
    <w:rsid w:val="006004C6"/>
    <w:rsid w:val="0061073E"/>
    <w:rsid w:val="00631492"/>
    <w:rsid w:val="006356C5"/>
    <w:rsid w:val="00656970"/>
    <w:rsid w:val="00656A34"/>
    <w:rsid w:val="00661B53"/>
    <w:rsid w:val="00672C21"/>
    <w:rsid w:val="00674834"/>
    <w:rsid w:val="00676563"/>
    <w:rsid w:val="00683D52"/>
    <w:rsid w:val="006A04F4"/>
    <w:rsid w:val="006B36B0"/>
    <w:rsid w:val="006B4001"/>
    <w:rsid w:val="006D72D7"/>
    <w:rsid w:val="0071021A"/>
    <w:rsid w:val="0071252F"/>
    <w:rsid w:val="007303D6"/>
    <w:rsid w:val="007364B0"/>
    <w:rsid w:val="00745F14"/>
    <w:rsid w:val="0075022E"/>
    <w:rsid w:val="0076227E"/>
    <w:rsid w:val="007631D1"/>
    <w:rsid w:val="007646C7"/>
    <w:rsid w:val="00781A04"/>
    <w:rsid w:val="00785C43"/>
    <w:rsid w:val="007A727C"/>
    <w:rsid w:val="007B7D95"/>
    <w:rsid w:val="007C1DA1"/>
    <w:rsid w:val="007C7D74"/>
    <w:rsid w:val="007D5746"/>
    <w:rsid w:val="00807009"/>
    <w:rsid w:val="00812E00"/>
    <w:rsid w:val="00816660"/>
    <w:rsid w:val="0082015C"/>
    <w:rsid w:val="00821FA3"/>
    <w:rsid w:val="008333BE"/>
    <w:rsid w:val="008347D0"/>
    <w:rsid w:val="00860233"/>
    <w:rsid w:val="00882931"/>
    <w:rsid w:val="00891CB8"/>
    <w:rsid w:val="00896DA9"/>
    <w:rsid w:val="008D3C31"/>
    <w:rsid w:val="008F558A"/>
    <w:rsid w:val="009147DB"/>
    <w:rsid w:val="0092346F"/>
    <w:rsid w:val="0093060F"/>
    <w:rsid w:val="009412F5"/>
    <w:rsid w:val="0094197E"/>
    <w:rsid w:val="00970F4D"/>
    <w:rsid w:val="0098177C"/>
    <w:rsid w:val="009860E8"/>
    <w:rsid w:val="00990466"/>
    <w:rsid w:val="00997907"/>
    <w:rsid w:val="009A0C8A"/>
    <w:rsid w:val="009A18EA"/>
    <w:rsid w:val="009A229F"/>
    <w:rsid w:val="009A4EDE"/>
    <w:rsid w:val="009B1CEF"/>
    <w:rsid w:val="009B6C06"/>
    <w:rsid w:val="009C707D"/>
    <w:rsid w:val="009C7D59"/>
    <w:rsid w:val="009D68B9"/>
    <w:rsid w:val="009F31FA"/>
    <w:rsid w:val="009F484E"/>
    <w:rsid w:val="00A16300"/>
    <w:rsid w:val="00A236F3"/>
    <w:rsid w:val="00A32339"/>
    <w:rsid w:val="00A4116E"/>
    <w:rsid w:val="00A45969"/>
    <w:rsid w:val="00A51182"/>
    <w:rsid w:val="00A60CEF"/>
    <w:rsid w:val="00A627F1"/>
    <w:rsid w:val="00A662BC"/>
    <w:rsid w:val="00A856E0"/>
    <w:rsid w:val="00AA0225"/>
    <w:rsid w:val="00AA4E06"/>
    <w:rsid w:val="00AA66D8"/>
    <w:rsid w:val="00AC4364"/>
    <w:rsid w:val="00AC4868"/>
    <w:rsid w:val="00AF047B"/>
    <w:rsid w:val="00AF13A5"/>
    <w:rsid w:val="00AF61D3"/>
    <w:rsid w:val="00B01356"/>
    <w:rsid w:val="00B07ACF"/>
    <w:rsid w:val="00B152EA"/>
    <w:rsid w:val="00B37383"/>
    <w:rsid w:val="00B417B5"/>
    <w:rsid w:val="00B41831"/>
    <w:rsid w:val="00B51871"/>
    <w:rsid w:val="00B61440"/>
    <w:rsid w:val="00B75756"/>
    <w:rsid w:val="00B75AEA"/>
    <w:rsid w:val="00B763B4"/>
    <w:rsid w:val="00B90362"/>
    <w:rsid w:val="00BC4340"/>
    <w:rsid w:val="00BD6809"/>
    <w:rsid w:val="00BE2F22"/>
    <w:rsid w:val="00BF700E"/>
    <w:rsid w:val="00C0093E"/>
    <w:rsid w:val="00C01D89"/>
    <w:rsid w:val="00C1304A"/>
    <w:rsid w:val="00C145EF"/>
    <w:rsid w:val="00C20A9B"/>
    <w:rsid w:val="00C51469"/>
    <w:rsid w:val="00C62562"/>
    <w:rsid w:val="00C84DEC"/>
    <w:rsid w:val="00C93EC1"/>
    <w:rsid w:val="00C96B1B"/>
    <w:rsid w:val="00CB2D9A"/>
    <w:rsid w:val="00CE1180"/>
    <w:rsid w:val="00CE73E2"/>
    <w:rsid w:val="00D05E63"/>
    <w:rsid w:val="00D2608C"/>
    <w:rsid w:val="00D3606D"/>
    <w:rsid w:val="00D42027"/>
    <w:rsid w:val="00D44834"/>
    <w:rsid w:val="00D6349D"/>
    <w:rsid w:val="00D648AA"/>
    <w:rsid w:val="00D71F5E"/>
    <w:rsid w:val="00D76619"/>
    <w:rsid w:val="00D87846"/>
    <w:rsid w:val="00D91258"/>
    <w:rsid w:val="00D9417F"/>
    <w:rsid w:val="00DB3C69"/>
    <w:rsid w:val="00DB4B49"/>
    <w:rsid w:val="00DB4BE8"/>
    <w:rsid w:val="00DB7CB1"/>
    <w:rsid w:val="00DD59D1"/>
    <w:rsid w:val="00DE2F50"/>
    <w:rsid w:val="00DF036C"/>
    <w:rsid w:val="00DF3057"/>
    <w:rsid w:val="00E01440"/>
    <w:rsid w:val="00E1182C"/>
    <w:rsid w:val="00E2021D"/>
    <w:rsid w:val="00E22DDD"/>
    <w:rsid w:val="00E32977"/>
    <w:rsid w:val="00E46E78"/>
    <w:rsid w:val="00E677FC"/>
    <w:rsid w:val="00E67B25"/>
    <w:rsid w:val="00E700A2"/>
    <w:rsid w:val="00E7209C"/>
    <w:rsid w:val="00E825B2"/>
    <w:rsid w:val="00E874BE"/>
    <w:rsid w:val="00EA4E4D"/>
    <w:rsid w:val="00EC2A54"/>
    <w:rsid w:val="00ED3E77"/>
    <w:rsid w:val="00ED4B60"/>
    <w:rsid w:val="00F12AE9"/>
    <w:rsid w:val="00F13E7C"/>
    <w:rsid w:val="00F23DBB"/>
    <w:rsid w:val="00F26798"/>
    <w:rsid w:val="00F33820"/>
    <w:rsid w:val="00F4550A"/>
    <w:rsid w:val="00F5527D"/>
    <w:rsid w:val="00F57D48"/>
    <w:rsid w:val="00F61FF6"/>
    <w:rsid w:val="00F67DC9"/>
    <w:rsid w:val="00F806CB"/>
    <w:rsid w:val="00F842E5"/>
    <w:rsid w:val="00F97085"/>
    <w:rsid w:val="00FA04CE"/>
    <w:rsid w:val="00FB27A8"/>
    <w:rsid w:val="00FB5BEE"/>
    <w:rsid w:val="00FC5915"/>
    <w:rsid w:val="00FC761E"/>
    <w:rsid w:val="00FD31F0"/>
    <w:rsid w:val="00FD4100"/>
    <w:rsid w:val="00FD7239"/>
    <w:rsid w:val="00FE12E2"/>
    <w:rsid w:val="00FF15AD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A21C5DD"/>
  <w15:docId w15:val="{BAE2BEB0-1A53-4E1F-A700-4D24D296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FD31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basedOn w:val="Absatz-Standardschriftart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character" w:customStyle="1" w:styleId="object-hover">
    <w:name w:val="object-hover"/>
    <w:basedOn w:val="Absatz-Standardschriftart"/>
    <w:rsid w:val="00D648A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12E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1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youtube.com/user/RegioluxGmbH/video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RegioluxGmbH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regiolux_insights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anja.zander@seifert-pr.d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xing.com/companies/regioluxgmbh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company/regiolux-gmbh" TargetMode="External"/><Relationship Id="rId14" Type="http://schemas.openxmlformats.org/officeDocument/2006/relationships/hyperlink" Target="https://youtu.be/kEwDi34z0e8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3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350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Manja Zander</cp:lastModifiedBy>
  <cp:revision>4</cp:revision>
  <cp:lastPrinted>2023-03-23T12:18:00Z</cp:lastPrinted>
  <dcterms:created xsi:type="dcterms:W3CDTF">2023-03-23T12:08:00Z</dcterms:created>
  <dcterms:modified xsi:type="dcterms:W3CDTF">2023-03-23T12:23:00Z</dcterms:modified>
</cp:coreProperties>
</file>